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报价表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4994" w:type="pct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183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6" w:type="pct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18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zh-CN"/>
              </w:rPr>
              <w:t>四川省第五人民医院2024年常备日用品与办公用品配送项目（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第三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zh-CN"/>
              </w:rPr>
              <w:t>次）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tbl>
      <w:tblPr>
        <w:tblStyle w:val="5"/>
        <w:tblpPr w:leftFromText="180" w:rightFromText="180" w:vertAnchor="text" w:horzAnchor="page" w:tblpX="1952" w:tblpY="2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65"/>
        <w:gridCol w:w="3475"/>
        <w:gridCol w:w="75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全木浆檫手纸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原料：原生木浆 20包/箱 140张/包 210mm*225mm/张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亿惠品创卷纸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原料：木浆 100mm*110mm/节*12卷 2000克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适运纸杯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材质：原纸加PE                      1件/40提，50只/提，200ml/只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心相印抽纸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1件/60包，150抽/包，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68mm*190mm/抽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雕牌洗衣粉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252克/袋，20袋/件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不锈钢水瓶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5磅 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厚型黑色垃圾袋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34cm*50cm，聚乙烯材质，背心袋，40个/扎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特级散纸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9.5斤（26cm*37cm，约2400张，每张厚度约0.15mm），原浆纸，无粉尘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普通散纸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7.5斤（21cm*44cm，约700张，每张厚度约0.4mm），再生纸，无粉尘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彩虹无味杀虫水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600ml/瓶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彩虹无味灭蚊药片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60片/盒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彩虹电灭蚊药器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（1卷线加热器+9片）/个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塑料垃圾桶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（新料）</w:t>
            </w:r>
          </w:p>
        </w:tc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高27cm，口径31cm，全新聚乙烯材质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①此报价为一次性报价，原则上不再进行二次议价。高于控制价作为无效报价。</w:t>
            </w:r>
          </w:p>
          <w:p>
            <w:pPr>
              <w:spacing w:line="360" w:lineRule="auto"/>
              <w:ind w:firstLine="482" w:firstLineChars="200"/>
              <w:contextualSpacing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②报价要求：供应商应在《常备日用品清单》列明的最高限价的基础上进行统一折扣报价。如打九折，报价即为90%，常备日用品单价结算价＝最高限价✕90%；结算单价包括包装、运输等各项的含税费用和合理利润在内的一切费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WY3NzczNmI1ZTBhZTg3ZDZkNjQwMmVkYTQ2NzIifQ=="/>
  </w:docVars>
  <w:rsids>
    <w:rsidRoot w:val="00000000"/>
    <w:rsid w:val="2B31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2024-06-13T07:05:22Z</dcterms:created>
  <dc:creator>H3c</dc:creator>
  <cp:lastModifiedBy>采购科</cp:lastModifiedBy>
  <dcterms:modified xsi:type="dcterms:W3CDTF">2024-06-13T07:05:29Z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EFD39C00DA12453B93231DCF438C8615_12</vt:lpwstr>
  </property>
</Properties>
</file>